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32" w:type="dxa"/>
        <w:tblInd w:w="0" w:type="dxa"/>
        <w:tblLayout w:type="fixed"/>
        <w:tblCellMar>
          <w:top w:w="0" w:type="dxa"/>
          <w:left w:w="108" w:type="dxa"/>
          <w:bottom w:w="0" w:type="dxa"/>
          <w:right w:w="108" w:type="dxa"/>
        </w:tblCellMar>
      </w:tblPr>
      <w:tblGrid>
        <w:gridCol w:w="1203"/>
        <w:gridCol w:w="1290"/>
        <w:gridCol w:w="4700"/>
        <w:gridCol w:w="1139"/>
      </w:tblGrid>
      <w:tr w14:paraId="6DBE0A6A">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14:paraId="6C1C3184">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290" w:type="dxa"/>
            <w:tcBorders>
              <w:top w:val="single" w:color="auto" w:sz="4" w:space="0"/>
              <w:left w:val="nil"/>
              <w:bottom w:val="single" w:color="auto" w:sz="4" w:space="0"/>
              <w:right w:val="single" w:color="auto" w:sz="4" w:space="0"/>
            </w:tcBorders>
            <w:noWrap/>
            <w:vAlign w:val="center"/>
          </w:tcPr>
          <w:p w14:paraId="0C5A0D57">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4700" w:type="dxa"/>
            <w:tcBorders>
              <w:top w:val="single" w:color="auto" w:sz="4" w:space="0"/>
              <w:left w:val="nil"/>
              <w:bottom w:val="single" w:color="auto" w:sz="4" w:space="0"/>
              <w:right w:val="single" w:color="auto" w:sz="4" w:space="0"/>
            </w:tcBorders>
            <w:noWrap/>
            <w:vAlign w:val="center"/>
          </w:tcPr>
          <w:p w14:paraId="657A90DB">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139" w:type="dxa"/>
            <w:tcBorders>
              <w:top w:val="single" w:color="auto" w:sz="4" w:space="0"/>
              <w:left w:val="nil"/>
              <w:bottom w:val="single" w:color="auto" w:sz="4" w:space="0"/>
              <w:right w:val="single" w:color="auto" w:sz="4" w:space="0"/>
            </w:tcBorders>
            <w:noWrap/>
            <w:vAlign w:val="center"/>
          </w:tcPr>
          <w:p w14:paraId="63DF2014">
            <w:pPr>
              <w:keepNext w:val="0"/>
              <w:keepLines w:val="0"/>
              <w:widowControl/>
              <w:suppressLineNumbers w:val="0"/>
              <w:spacing w:before="0" w:beforeAutospacing="0" w:after="0" w:afterAutospacing="0"/>
              <w:ind w:left="0" w:right="0"/>
              <w:jc w:val="center"/>
              <w:rPr>
                <w:rFonts w:hint="eastAsia" w:ascii="宋体" w:hAnsi="宋体" w:cs="宋体"/>
                <w:lang w:eastAsia="zh-CN"/>
              </w:rPr>
            </w:pPr>
            <w:r>
              <w:rPr>
                <w:rFonts w:hint="eastAsia" w:ascii="宋体" w:hAnsi="宋体" w:cs="宋体"/>
                <w:lang w:eastAsia="zh-CN"/>
              </w:rPr>
              <w:t>备注</w:t>
            </w:r>
          </w:p>
        </w:tc>
      </w:tr>
      <w:tr w14:paraId="6E3B91B8">
        <w:tblPrEx>
          <w:tblCellMar>
            <w:top w:w="0" w:type="dxa"/>
            <w:left w:w="108" w:type="dxa"/>
            <w:bottom w:w="0" w:type="dxa"/>
            <w:right w:w="108" w:type="dxa"/>
          </w:tblCellMar>
        </w:tblPrEx>
        <w:trPr>
          <w:trHeight w:val="8280" w:hRule="exac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C6C87">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default" w:ascii="宋体" w:hAnsi="宋体" w:cs="宋体"/>
                <w:b w:val="0"/>
                <w:kern w:val="2"/>
                <w:sz w:val="21"/>
                <w:szCs w:val="24"/>
                <w:highlight w:val="none"/>
                <w:vertAlign w:val="baseline"/>
                <w:lang w:val="en-US" w:eastAsia="zh-CN" w:bidi="ar-SA"/>
              </w:rPr>
              <w:t>WYYYCGC-</w:t>
            </w:r>
            <w:r>
              <w:rPr>
                <w:rFonts w:hint="eastAsia" w:ascii="宋体" w:hAnsi="宋体" w:cs="宋体"/>
                <w:b w:val="0"/>
                <w:kern w:val="2"/>
                <w:sz w:val="21"/>
                <w:szCs w:val="24"/>
                <w:highlight w:val="none"/>
                <w:vertAlign w:val="baseline"/>
                <w:lang w:val="en-US" w:eastAsia="zh-CN" w:bidi="ar-SA"/>
              </w:rPr>
              <w:t>2025071/01</w:t>
            </w: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1EA21818">
            <w:pPr>
              <w:keepNext w:val="0"/>
              <w:keepLines w:val="0"/>
              <w:widowControl/>
              <w:suppressLineNumbers w:val="0"/>
              <w:jc w:val="left"/>
              <w:textAlignment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射频治疗仪</w:t>
            </w:r>
          </w:p>
        </w:tc>
        <w:tc>
          <w:tcPr>
            <w:tcW w:w="4700" w:type="dxa"/>
            <w:tcBorders>
              <w:top w:val="single" w:color="auto" w:sz="4" w:space="0"/>
              <w:left w:val="nil"/>
              <w:bottom w:val="single" w:color="auto" w:sz="4" w:space="0"/>
              <w:right w:val="single" w:color="auto" w:sz="4" w:space="0"/>
            </w:tcBorders>
            <w:shd w:val="clear" w:color="auto" w:fill="auto"/>
            <w:noWrap/>
            <w:vAlign w:val="center"/>
          </w:tcPr>
          <w:p w14:paraId="7EA84D89">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适用范围：适用于通过高频电流实现盆底功能的康复治疗。</w:t>
            </w:r>
          </w:p>
          <w:p w14:paraId="5F1F66CA">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结构组成：该产品包含射频发生器主机、脚踏开关、手术电极、手术电极连接线、中性电极、中性电极连接线。</w:t>
            </w:r>
          </w:p>
          <w:p w14:paraId="6C719942">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w:t>
            </w:r>
            <w:r>
              <w:rPr>
                <w:rFonts w:hint="eastAsia" w:ascii="宋体" w:hAnsi="宋体" w:cs="宋体"/>
                <w:b w:val="0"/>
                <w:kern w:val="2"/>
                <w:sz w:val="21"/>
                <w:szCs w:val="24"/>
                <w:highlight w:val="none"/>
                <w:vertAlign w:val="baseline"/>
                <w:lang w:val="en-US" w:eastAsia="zh-CN" w:bidi="ar-SA"/>
              </w:rPr>
              <w:t>的工作频率大于100kHz。</w:t>
            </w:r>
          </w:p>
          <w:p w14:paraId="2FFE8927">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最大输出功率不小于45W。</w:t>
            </w:r>
          </w:p>
          <w:p w14:paraId="57D70785">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w:t>
            </w:r>
            <w:r>
              <w:rPr>
                <w:rFonts w:hint="eastAsia" w:ascii="宋体" w:hAnsi="宋体" w:cs="宋体"/>
                <w:b w:val="0"/>
                <w:kern w:val="2"/>
                <w:sz w:val="21"/>
                <w:szCs w:val="24"/>
                <w:highlight w:val="none"/>
                <w:vertAlign w:val="baseline"/>
                <w:lang w:val="en-US" w:eastAsia="zh-CN" w:bidi="ar-SA"/>
              </w:rPr>
              <w:t>具有温度测量功能，测温范围上限不低于温度控制范围上限。</w:t>
            </w:r>
          </w:p>
          <w:p w14:paraId="6DAF1022">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w:t>
            </w:r>
            <w:r>
              <w:rPr>
                <w:rFonts w:hint="eastAsia" w:ascii="宋体" w:hAnsi="宋体" w:cs="宋体"/>
                <w:b w:val="0"/>
                <w:kern w:val="2"/>
                <w:sz w:val="21"/>
                <w:szCs w:val="24"/>
                <w:highlight w:val="none"/>
                <w:vertAlign w:val="baseline"/>
                <w:lang w:val="en-US" w:eastAsia="zh-CN" w:bidi="ar-SA"/>
              </w:rPr>
              <w:t>具有温度控制装置，温度控制范围覆盖38℃-48℃。</w:t>
            </w:r>
          </w:p>
          <w:p w14:paraId="4A116D8F">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射频治疗仪具有定时装置，时间设定上限不小于25分钟。</w:t>
            </w:r>
          </w:p>
          <w:p w14:paraId="4ED2335D">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射频治疗仪具有超上限温度报警并自动切断射频输出的功能。</w:t>
            </w:r>
          </w:p>
          <w:p w14:paraId="0EBC3AA5">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射频治疗仪具有治疗时间到自动切断射频输出的功能。</w:t>
            </w:r>
          </w:p>
          <w:p w14:paraId="2A80F732">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射频治疗仪具有在中性电极或中性电极连接线失去连接时停止射频输出并报警的功能。</w:t>
            </w:r>
          </w:p>
          <w:p w14:paraId="47DA475C">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kern w:val="2"/>
                <w:sz w:val="21"/>
                <w:szCs w:val="24"/>
                <w:highlight w:val="none"/>
                <w:lang w:val="en-US" w:eastAsia="zh-CN" w:bidi="ar-SA"/>
              </w:rPr>
              <w:t>可在治疗过程中调整温度、功率。</w:t>
            </w:r>
          </w:p>
          <w:p w14:paraId="6E0CAAD1">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手术电极应包含单极、双极电极。</w:t>
            </w:r>
          </w:p>
          <w:p w14:paraId="11DEC710">
            <w:pPr>
              <w:numPr>
                <w:ilvl w:val="0"/>
                <w:numId w:val="1"/>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手术电极上具有控制射频输出/中断的控制装置。</w:t>
            </w:r>
          </w:p>
          <w:p w14:paraId="46144FEA">
            <w:pPr>
              <w:numPr>
                <w:ilvl w:val="0"/>
                <w:numId w:val="1"/>
              </w:numPr>
              <w:tabs>
                <w:tab w:val="left" w:pos="874"/>
              </w:tabs>
              <w:bidi w:val="0"/>
              <w:rPr>
                <w:rFonts w:hint="eastAsia"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灭菌要求：电极应灭菌提供。</w:t>
            </w:r>
          </w:p>
        </w:tc>
        <w:tc>
          <w:tcPr>
            <w:tcW w:w="1139" w:type="dxa"/>
            <w:tcBorders>
              <w:top w:val="single" w:color="auto" w:sz="4" w:space="0"/>
              <w:left w:val="nil"/>
              <w:bottom w:val="single" w:color="auto" w:sz="4" w:space="0"/>
              <w:right w:val="single" w:color="auto" w:sz="4" w:space="0"/>
            </w:tcBorders>
            <w:noWrap/>
            <w:vAlign w:val="center"/>
          </w:tcPr>
          <w:p w14:paraId="67F0E844">
            <w:pPr>
              <w:pStyle w:val="2"/>
              <w:rPr>
                <w:rFonts w:hint="default"/>
                <w:lang w:val="en-US" w:eastAsia="zh-CN"/>
              </w:rPr>
            </w:pPr>
          </w:p>
        </w:tc>
      </w:tr>
    </w:tbl>
    <w:p w14:paraId="2FF4F276">
      <w:r>
        <w:br w:type="page"/>
      </w:r>
    </w:p>
    <w:tbl>
      <w:tblPr>
        <w:tblStyle w:val="3"/>
        <w:tblW w:w="8332" w:type="dxa"/>
        <w:tblInd w:w="0" w:type="dxa"/>
        <w:tblLayout w:type="fixed"/>
        <w:tblCellMar>
          <w:top w:w="0" w:type="dxa"/>
          <w:left w:w="108" w:type="dxa"/>
          <w:bottom w:w="0" w:type="dxa"/>
          <w:right w:w="108" w:type="dxa"/>
        </w:tblCellMar>
      </w:tblPr>
      <w:tblGrid>
        <w:gridCol w:w="1203"/>
        <w:gridCol w:w="1290"/>
        <w:gridCol w:w="4700"/>
        <w:gridCol w:w="1139"/>
      </w:tblGrid>
      <w:tr w14:paraId="5C867AF8">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14:paraId="42BDD0B9">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290" w:type="dxa"/>
            <w:tcBorders>
              <w:top w:val="single" w:color="auto" w:sz="4" w:space="0"/>
              <w:left w:val="nil"/>
              <w:bottom w:val="single" w:color="auto" w:sz="4" w:space="0"/>
              <w:right w:val="single" w:color="auto" w:sz="4" w:space="0"/>
            </w:tcBorders>
            <w:noWrap/>
            <w:vAlign w:val="center"/>
          </w:tcPr>
          <w:p w14:paraId="120909A8">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4700" w:type="dxa"/>
            <w:tcBorders>
              <w:top w:val="single" w:color="auto" w:sz="4" w:space="0"/>
              <w:left w:val="nil"/>
              <w:bottom w:val="single" w:color="auto" w:sz="4" w:space="0"/>
              <w:right w:val="single" w:color="auto" w:sz="4" w:space="0"/>
            </w:tcBorders>
            <w:noWrap/>
            <w:vAlign w:val="center"/>
          </w:tcPr>
          <w:p w14:paraId="4B38DF86">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139" w:type="dxa"/>
            <w:tcBorders>
              <w:top w:val="single" w:color="auto" w:sz="4" w:space="0"/>
              <w:left w:val="nil"/>
              <w:bottom w:val="single" w:color="auto" w:sz="4" w:space="0"/>
              <w:right w:val="single" w:color="auto" w:sz="4" w:space="0"/>
            </w:tcBorders>
            <w:noWrap/>
            <w:vAlign w:val="center"/>
          </w:tcPr>
          <w:p w14:paraId="48CF0D84">
            <w:pPr>
              <w:keepNext w:val="0"/>
              <w:keepLines w:val="0"/>
              <w:widowControl/>
              <w:suppressLineNumbers w:val="0"/>
              <w:spacing w:before="0" w:beforeAutospacing="0" w:after="0" w:afterAutospacing="0"/>
              <w:ind w:left="0" w:right="0"/>
              <w:jc w:val="center"/>
              <w:rPr>
                <w:rFonts w:hint="eastAsia" w:ascii="宋体" w:hAnsi="宋体" w:cs="宋体"/>
                <w:lang w:eastAsia="zh-CN"/>
              </w:rPr>
            </w:pPr>
            <w:bookmarkStart w:id="0" w:name="_GoBack"/>
            <w:bookmarkEnd w:id="0"/>
            <w:r>
              <w:rPr>
                <w:rFonts w:hint="eastAsia" w:ascii="宋体" w:hAnsi="宋体" w:cs="宋体"/>
                <w:lang w:eastAsia="zh-CN"/>
              </w:rPr>
              <w:t>备注</w:t>
            </w:r>
          </w:p>
        </w:tc>
      </w:tr>
      <w:tr w14:paraId="2C24EDD4">
        <w:tblPrEx>
          <w:tblCellMar>
            <w:top w:w="0" w:type="dxa"/>
            <w:left w:w="108" w:type="dxa"/>
            <w:bottom w:w="0" w:type="dxa"/>
            <w:right w:w="108" w:type="dxa"/>
          </w:tblCellMar>
        </w:tblPrEx>
        <w:trPr>
          <w:trHeight w:val="12532" w:hRule="exac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FC992">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default" w:ascii="宋体" w:hAnsi="宋体" w:cs="宋体"/>
                <w:b w:val="0"/>
                <w:kern w:val="2"/>
                <w:sz w:val="21"/>
                <w:szCs w:val="24"/>
                <w:highlight w:val="none"/>
                <w:vertAlign w:val="baseline"/>
                <w:lang w:val="en-US" w:eastAsia="zh-CN" w:bidi="ar-SA"/>
              </w:rPr>
              <w:t>WYYYCGC-</w:t>
            </w:r>
            <w:r>
              <w:rPr>
                <w:rFonts w:hint="eastAsia" w:ascii="宋体" w:hAnsi="宋体" w:cs="宋体"/>
                <w:b w:val="0"/>
                <w:kern w:val="2"/>
                <w:sz w:val="21"/>
                <w:szCs w:val="24"/>
                <w:highlight w:val="none"/>
                <w:vertAlign w:val="baseline"/>
                <w:lang w:val="en-US" w:eastAsia="zh-CN" w:bidi="ar-SA"/>
              </w:rPr>
              <w:t>2025072/01</w:t>
            </w: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2945B248">
            <w:pPr>
              <w:keepNext w:val="0"/>
              <w:keepLines w:val="0"/>
              <w:widowControl/>
              <w:suppressLineNumbers w:val="0"/>
              <w:jc w:val="left"/>
              <w:textAlignment w:val="center"/>
              <w:rPr>
                <w:rFonts w:hint="default"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生物刺激反馈仪</w:t>
            </w:r>
          </w:p>
        </w:tc>
        <w:tc>
          <w:tcPr>
            <w:tcW w:w="4700" w:type="dxa"/>
            <w:tcBorders>
              <w:top w:val="single" w:color="auto" w:sz="4" w:space="0"/>
              <w:left w:val="nil"/>
              <w:bottom w:val="single" w:color="auto" w:sz="4" w:space="0"/>
              <w:right w:val="single" w:color="auto" w:sz="4" w:space="0"/>
            </w:tcBorders>
            <w:shd w:val="clear" w:color="auto" w:fill="auto"/>
            <w:noWrap/>
            <w:vAlign w:val="center"/>
          </w:tcPr>
          <w:p w14:paraId="5DAFE0D5">
            <w:pPr>
              <w:numPr>
                <w:ilvl w:val="0"/>
                <w:numId w:val="2"/>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适用范围：妇科盆底疾病治疗时，采集、分析患者肌电信号并反馈，通过</w:t>
            </w:r>
            <w:r>
              <w:rPr>
                <w:rFonts w:hint="eastAsia"/>
                <w:szCs w:val="21"/>
              </w:rPr>
              <w:t>电刺激疗法对肌肉软组织进行治疗</w:t>
            </w:r>
          </w:p>
          <w:p w14:paraId="0342AAC4">
            <w:pPr>
              <w:numPr>
                <w:ilvl w:val="0"/>
                <w:numId w:val="2"/>
              </w:numPr>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结构组成：该产品包含电刺激输出模块、信号采集模块、显示器、配套软件、电源线、电极线、阴道探头、一次性使用阴道电极、推车等。</w:t>
            </w:r>
          </w:p>
          <w:p w14:paraId="221D0AE5">
            <w:pPr>
              <w:numPr>
                <w:ilvl w:val="0"/>
                <w:numId w:val="2"/>
              </w:numPr>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包含至少4个肌电刺激通道、4个肌电采集通道，且各个通道相互独立，互不干扰。</w:t>
            </w:r>
          </w:p>
          <w:p w14:paraId="132AB3F0">
            <w:pPr>
              <w:numPr>
                <w:ilvl w:val="0"/>
                <w:numId w:val="2"/>
              </w:numPr>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具有压力检测通道，压力检测范围上限不小于400mmHg。</w:t>
            </w:r>
          </w:p>
          <w:p w14:paraId="29156B67">
            <w:pPr>
              <w:numPr>
                <w:ilvl w:val="0"/>
                <w:numId w:val="2"/>
              </w:numPr>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highlight w:val="none"/>
                <w:lang w:val="en-US" w:eastAsia="zh-CN" w:bidi="ar-SA"/>
              </w:rPr>
              <w:t>肌电采集测量范围</w:t>
            </w:r>
            <w:r>
              <w:rPr>
                <w:rFonts w:hint="eastAsia" w:cs="Times New Roman"/>
                <w:kern w:val="2"/>
                <w:sz w:val="21"/>
                <w:szCs w:val="24"/>
                <w:lang w:val="en-US" w:eastAsia="zh-CN" w:bidi="ar-SA"/>
              </w:rPr>
              <w:t>应覆盖1-3000μV（r.m.s）。</w:t>
            </w:r>
          </w:p>
          <w:p w14:paraId="2773EC3D">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通频带下限不高于20Hz（-3dB），上限不低于500Hz（-3dB）。</w:t>
            </w:r>
          </w:p>
          <w:p w14:paraId="3CD7CB9D">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刺激电流强度最大值不小于100mA。</w:t>
            </w:r>
          </w:p>
          <w:p w14:paraId="3E17C525">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刺激电流强度可调，步进不大于0.5mA。</w:t>
            </w:r>
          </w:p>
          <w:p w14:paraId="19EB1CE7">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低频电刺激脉冲频率最小值不高于0.1Hz，最大值不低于1000Hz。</w:t>
            </w:r>
          </w:p>
          <w:p w14:paraId="5F298355">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中频电刺激脉冲频率最小值不高于1000Hz，最大值不低于10kHz。</w:t>
            </w:r>
          </w:p>
          <w:p w14:paraId="49FA7687">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输出脉冲宽度最小值不高于30μs，最大值不小于1000000μs。</w:t>
            </w:r>
          </w:p>
          <w:p w14:paraId="7E41778B">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输出脉冲宽度可调，步进不大于10μs。</w:t>
            </w:r>
          </w:p>
          <w:p w14:paraId="196F4FAC">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电刺激输出波形可调，波形包含三角波、方波、正弦波、梯形波、指数波等。</w:t>
            </w:r>
          </w:p>
          <w:p w14:paraId="227D90E9">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具备盆底表面肌电筛查、标准筛查、标准评估（Glazer评估）、性功能评估、控尿反射评估、肌电压力综合筛查、肌电压力综合评估、专科检查等功能。</w:t>
            </w:r>
          </w:p>
          <w:p w14:paraId="52D66CC0">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可根据盆底筛查和评估结果生成盆底训练方案。</w:t>
            </w:r>
          </w:p>
          <w:p w14:paraId="6054FC04">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提供离心电刺激功能。</w:t>
            </w:r>
          </w:p>
          <w:p w14:paraId="7F04E0DD">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提供kegel阻抗训练模式。</w:t>
            </w:r>
          </w:p>
          <w:p w14:paraId="7BB171D6">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具有病例记录、存储、读取功能，记录信息包含患者信息、筛查评估情况、治疗波形等。</w:t>
            </w:r>
          </w:p>
          <w:p w14:paraId="5DC1A219">
            <w:pPr>
              <w:numPr>
                <w:ilvl w:val="0"/>
                <w:numId w:val="2"/>
              </w:numPr>
              <w:tabs>
                <w:tab w:val="left" w:pos="1602"/>
              </w:tabs>
              <w:bidi w:val="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提供扫描器，可通过扫码使</w:t>
            </w:r>
            <w:r>
              <w:rPr>
                <w:rFonts w:hint="eastAsia" w:ascii="宋体" w:hAnsi="宋体" w:cs="宋体"/>
                <w:kern w:val="2"/>
                <w:sz w:val="21"/>
                <w:szCs w:val="24"/>
                <w:highlight w:val="none"/>
                <w:lang w:val="en-US" w:eastAsia="zh-CN" w:bidi="ar-SA"/>
              </w:rPr>
              <w:t>生物刺激反馈仪</w:t>
            </w:r>
            <w:r>
              <w:rPr>
                <w:rFonts w:hint="eastAsia" w:cs="Times New Roman"/>
                <w:kern w:val="2"/>
                <w:sz w:val="21"/>
                <w:szCs w:val="24"/>
                <w:lang w:val="en-US" w:eastAsia="zh-CN" w:bidi="ar-SA"/>
              </w:rPr>
              <w:t>读取患者信息。</w:t>
            </w:r>
          </w:p>
          <w:p w14:paraId="6D375987">
            <w:pPr>
              <w:numPr>
                <w:ilvl w:val="0"/>
                <w:numId w:val="2"/>
              </w:numPr>
              <w:bidi w:val="0"/>
              <w:rPr>
                <w:rFonts w:hint="default" w:ascii="Times New Roman" w:hAnsi="Times New Roman" w:eastAsia="宋体" w:cs="Times New Roman"/>
                <w:kern w:val="2"/>
                <w:sz w:val="21"/>
                <w:szCs w:val="24"/>
                <w:lang w:val="en-US" w:eastAsia="zh-CN" w:bidi="ar-SA"/>
              </w:rPr>
            </w:pPr>
            <w:r>
              <w:rPr>
                <w:rFonts w:hint="eastAsia"/>
                <w:lang w:val="en-US" w:eastAsia="zh-CN"/>
              </w:rPr>
              <w:t>提供具有压力传导功能的阴道电极或压力探头。</w:t>
            </w:r>
          </w:p>
          <w:p w14:paraId="7DC93C08">
            <w:pPr>
              <w:numPr>
                <w:ilvl w:val="0"/>
                <w:numId w:val="2"/>
              </w:numPr>
              <w:bidi w:val="0"/>
              <w:rPr>
                <w:rFonts w:hint="default" w:ascii="Times New Roman" w:hAnsi="Times New Roman" w:eastAsia="宋体" w:cs="Times New Roman"/>
                <w:kern w:val="2"/>
                <w:sz w:val="21"/>
                <w:szCs w:val="24"/>
                <w:lang w:val="en-US" w:eastAsia="zh-CN" w:bidi="ar-SA"/>
              </w:rPr>
            </w:pPr>
            <w:r>
              <w:rPr>
                <w:rFonts w:hint="eastAsia" w:ascii="宋体" w:hAnsi="宋体" w:cs="宋体"/>
                <w:b w:val="0"/>
                <w:kern w:val="2"/>
                <w:sz w:val="21"/>
                <w:szCs w:val="24"/>
                <w:highlight w:val="none"/>
                <w:vertAlign w:val="baseline"/>
                <w:lang w:val="en-US" w:eastAsia="zh-CN" w:bidi="ar-SA"/>
              </w:rPr>
              <w:t>灭菌要求：一次性使用的产品应灭菌提供。</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7318C28B">
            <w:pPr>
              <w:pStyle w:val="2"/>
              <w:rPr>
                <w:rFonts w:hint="default" w:ascii="Times New Roman" w:hAnsi="Times New Roman" w:eastAsia="黑体" w:cs="Times New Roman"/>
                <w:b/>
                <w:snapToGrid/>
                <w:kern w:val="44"/>
                <w:sz w:val="36"/>
                <w:szCs w:val="24"/>
                <w:lang w:val="en-US" w:eastAsia="zh-CN" w:bidi="ar-SA"/>
              </w:rPr>
            </w:pPr>
            <w:r>
              <w:rPr>
                <w:rFonts w:hint="eastAsia" w:ascii="Times New Roman" w:hAnsi="Times New Roman" w:eastAsia="宋体" w:cs="Times New Roman"/>
                <w:b w:val="0"/>
                <w:snapToGrid/>
                <w:kern w:val="2"/>
                <w:sz w:val="21"/>
                <w:szCs w:val="24"/>
                <w:lang w:val="en-US" w:eastAsia="zh-CN" w:bidi="ar-SA"/>
              </w:rPr>
              <w:t>r.m.s：平方平均数</w:t>
            </w:r>
          </w:p>
        </w:tc>
      </w:tr>
    </w:tbl>
    <w:p w14:paraId="5D0A7E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127CE"/>
    <w:multiLevelType w:val="singleLevel"/>
    <w:tmpl w:val="058127CE"/>
    <w:lvl w:ilvl="0" w:tentative="0">
      <w:start w:val="1"/>
      <w:numFmt w:val="decimal"/>
      <w:suff w:val="nothing"/>
      <w:lvlText w:val="%1、"/>
      <w:lvlJc w:val="left"/>
    </w:lvl>
  </w:abstractNum>
  <w:abstractNum w:abstractNumId="1">
    <w:nsid w:val="7638F14F"/>
    <w:multiLevelType w:val="singleLevel"/>
    <w:tmpl w:val="7638F14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30DC9"/>
    <w:rsid w:val="4BF30DC9"/>
    <w:rsid w:val="66AE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970</Words>
  <Characters>1098</Characters>
  <Lines>0</Lines>
  <Paragraphs>0</Paragraphs>
  <TotalTime>1</TotalTime>
  <ScaleCrop>false</ScaleCrop>
  <LinksUpToDate>false</LinksUpToDate>
  <CharactersWithSpaces>1098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2025-09-19T10:25:00Z</dcterms:created>
  <dc:creator>余康远</dc:creator>
  <cp:lastModifiedBy>余康远</cp:lastModifiedBy>
  <dcterms:modified xsi:type="dcterms:W3CDTF">2025-09-22T01:33:43Z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D96FCC3FAD4D4EBF86C40D35C45FA8A6_11</vt:lpwstr>
  </property>
  <property fmtid="{D5CDD505-2E9C-101B-9397-08002B2CF9AE}" pid="4" name="KSOTemplateDocerSaveRecord">
    <vt:lpwstr>eyJoZGlkIjoiMzBkMjU5OWFlOTFmYjZlMzBlNmY4NTA0ZTY3ZTZiZmUiLCJ1c2VySWQiOiI2MDQwNDc2NjMifQ==</vt:lpwstr>
  </property>
</Properties>
</file>