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82" w:tblpY="463"/>
        <w:tblOverlap w:val="never"/>
        <w:tblW w:w="487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3297"/>
        <w:gridCol w:w="2418"/>
      </w:tblGrid>
      <w:tr w14:paraId="1C856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51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9C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C1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FC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</w:tr>
      <w:tr w14:paraId="3459E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81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WYYYCGC-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2025073/01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EEF50FD">
            <w:pPr>
              <w:bidi w:val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  <w:p w14:paraId="0DD8FE58">
            <w:pPr>
              <w:bidi w:val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  <w:p w14:paraId="712BCFD8">
            <w:pPr>
              <w:bidi w:val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  <w:p w14:paraId="00A67912">
            <w:pPr>
              <w:bidi w:val="0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羧甲基纤维素冲洗胶液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1AB1470">
            <w:pPr>
              <w:bidi w:val="0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1.产品组成：由植物纤维氧化处理后的原料与氯化钠、注射用水等按一定比例配制而成</w:t>
            </w:r>
          </w:p>
          <w:p w14:paraId="13744DD1">
            <w:pPr>
              <w:bidi w:val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灭菌要求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产品应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灭菌</w:t>
            </w:r>
          </w:p>
          <w:p w14:paraId="5E785EC9">
            <w:pPr>
              <w:bidi w:val="0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3.适用范围：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用于非慢性创面（手术后缝合创面、小创口、擦伤、切割伤）及周围皮肤的冲洗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97071">
            <w:pPr>
              <w:ind w:firstLine="210" w:firstLineChars="100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100ml</w:t>
            </w:r>
          </w:p>
          <w:p w14:paraId="2F35815B">
            <w:pPr>
              <w:ind w:firstLine="21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50ml</w:t>
            </w:r>
          </w:p>
        </w:tc>
      </w:tr>
      <w:tr w14:paraId="122BD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A3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bookmarkStart w:id="0" w:name="_GoBack" w:colFirst="0" w:colLast="3"/>
            <w:r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WYYYCGC-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2025074/01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9CCB6BF">
            <w:pPr>
              <w:bidi w:val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  <w:p w14:paraId="3F5CDF68">
            <w:pPr>
              <w:bidi w:val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  <w:p w14:paraId="50815E38">
            <w:pPr>
              <w:bidi w:val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  <w:p w14:paraId="57137618"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6884E134"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249464BD"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一次性无菌腹腔引流导管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010D1B7">
            <w:pPr>
              <w:numPr>
                <w:ilvl w:val="0"/>
                <w:numId w:val="0"/>
              </w:numPr>
              <w:bidi w:val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1.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产品组成：由基本配置和选用器械配置组成。基本配置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包括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腹腔引流导管、腹水穿刺针、导引芯、扩张器</w:t>
            </w:r>
          </w:p>
          <w:p w14:paraId="21F75123">
            <w:pPr>
              <w:bidi w:val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；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选用器械配置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包括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一次性使用无菌注射器、无菌塑柄手术刀、带线缝合针、一次性使用导丝控制手柄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等</w:t>
            </w:r>
          </w:p>
          <w:p w14:paraId="2F1788CF">
            <w:pPr>
              <w:numPr>
                <w:ilvl w:val="0"/>
                <w:numId w:val="0"/>
              </w:numPr>
              <w:bidi w:val="0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2.技术要求：引流导管具有X射线不穿透性</w:t>
            </w:r>
          </w:p>
          <w:p w14:paraId="081BE3CB">
            <w:pPr>
              <w:bidi w:val="0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3.灭菌要求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产品应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灭菌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，一次性使用</w:t>
            </w:r>
          </w:p>
          <w:p w14:paraId="5B0F99B2"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4.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适用范围：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适用于对晚期肿瘤并发腹水，胆囊切除术后，经腹腔肝脓肿切开手术后腹腔积液的引流</w:t>
            </w:r>
          </w:p>
          <w:p w14:paraId="2AEF9AD2">
            <w:pPr>
              <w:bidi w:val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5.其他要求：产品与人体作用时间不超过30天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CE73F">
            <w:pPr>
              <w:ind w:firstLine="210" w:firstLineChars="100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各规格</w:t>
            </w:r>
          </w:p>
        </w:tc>
      </w:tr>
      <w:bookmarkEnd w:id="0"/>
    </w:tbl>
    <w:p w14:paraId="748618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5384D"/>
    <w:rsid w:val="3085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2025-09-24T07:02:00Z</dcterms:created>
  <dc:creator>章铭</dc:creator>
  <cp:lastModifiedBy>章铭</cp:lastModifiedBy>
  <dcterms:modified xsi:type="dcterms:W3CDTF">2025-09-24T07:02:57Z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D4AAC5B2047248B5A5865AE3A4C6C1E8_11</vt:lpwstr>
  </property>
  <property fmtid="{D5CDD505-2E9C-101B-9397-08002B2CF9AE}" pid="4" name="KSOTemplateDocerSaveRecord">
    <vt:lpwstr>eyJoZGlkIjoiNjgxYzY5N2I0Y2VhYjY0OTQzNGVlMDM2OWRhYzg0MDciLCJ1c2VySWQiOiIyMDczNzk5NzIifQ==</vt:lpwstr>
  </property>
</Properties>
</file>